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194" w:rsidRDefault="008A1CEA">
      <w:pPr>
        <w:pStyle w:val="Kleinschrift"/>
        <w:spacing w:after="120" w:line="360" w:lineRule="auto"/>
        <w:rPr>
          <w:rFonts w:cs="Arial"/>
          <w:position w:val="6"/>
          <w:u w:val="single"/>
        </w:rPr>
      </w:pPr>
      <w:r>
        <w:rPr>
          <w:rFonts w:cs="Arial"/>
          <w:szCs w:val="24"/>
          <w:u w:val="single"/>
        </w:rPr>
        <w:fldChar w:fldCharType="begin"/>
      </w:r>
      <w:r>
        <w:rPr>
          <w:rFonts w:cs="Arial"/>
          <w:szCs w:val="24"/>
          <w:u w:val="single"/>
        </w:rPr>
        <w:instrText xml:space="preserve"> DOCPROPERTY "strCHBern"</w:instrText>
      </w:r>
      <w:r>
        <w:rPr>
          <w:rFonts w:cs="Arial"/>
          <w:szCs w:val="24"/>
          <w:u w:val="single"/>
        </w:rPr>
        <w:fldChar w:fldCharType="separate"/>
      </w:r>
      <w:r>
        <w:rPr>
          <w:rFonts w:cs="Arial"/>
          <w:szCs w:val="24"/>
          <w:u w:val="single"/>
        </w:rPr>
        <w:t>CH-3003 Bern</w:t>
      </w:r>
      <w:r>
        <w:rPr>
          <w:rFonts w:cs="Arial"/>
          <w:szCs w:val="24"/>
          <w:u w:val="single"/>
        </w:rPr>
        <w:fldChar w:fldCharType="end"/>
      </w:r>
      <w:r>
        <w:rPr>
          <w:rFonts w:cs="Arial"/>
          <w:szCs w:val="24"/>
          <w:u w:val="single"/>
        </w:rPr>
        <w:t xml:space="preserve">, </w:t>
      </w:r>
      <w:r>
        <w:rPr>
          <w:rFonts w:cs="Arial"/>
          <w:szCs w:val="24"/>
          <w:u w:val="single"/>
        </w:rPr>
        <w:fldChar w:fldCharType="begin"/>
      </w:r>
      <w:r>
        <w:rPr>
          <w:rFonts w:cs="Arial"/>
          <w:szCs w:val="24"/>
          <w:u w:val="single"/>
        </w:rPr>
        <w:instrText xml:space="preserve"> DOCPROPERTY "strBundesamtShort"</w:instrText>
      </w:r>
      <w:r>
        <w:rPr>
          <w:rFonts w:cs="Arial"/>
          <w:szCs w:val="24"/>
          <w:u w:val="single"/>
        </w:rPr>
        <w:fldChar w:fldCharType="separate"/>
      </w:r>
      <w:r>
        <w:rPr>
          <w:rFonts w:cs="Arial"/>
          <w:szCs w:val="24"/>
          <w:u w:val="single"/>
        </w:rPr>
        <w:t>BJ</w:t>
      </w:r>
      <w:r>
        <w:rPr>
          <w:rFonts w:cs="Arial"/>
          <w:szCs w:val="24"/>
          <w:u w:val="single"/>
        </w:rPr>
        <w:fldChar w:fldCharType="end"/>
      </w:r>
    </w:p>
    <w:p w:rsidR="00BA2194" w:rsidRDefault="008A1CEA">
      <w:pPr>
        <w:pStyle w:val="Kleinschrift"/>
        <w:spacing w:line="276" w:lineRule="auto"/>
        <w:rPr>
          <w:rFonts w:cs="Arial"/>
          <w:sz w:val="15"/>
          <w:szCs w:val="15"/>
        </w:rPr>
      </w:pPr>
      <w:r>
        <w:rPr>
          <w:rFonts w:cs="Arial"/>
          <w:sz w:val="15"/>
          <w:szCs w:val="15"/>
        </w:rPr>
        <w:t xml:space="preserve">Unser Zeichen: </w:t>
      </w:r>
      <w:r>
        <w:rPr>
          <w:rFonts w:cs="Arial"/>
          <w:sz w:val="15"/>
          <w:szCs w:val="15"/>
        </w:rPr>
        <w:fldChar w:fldCharType="begin"/>
      </w:r>
      <w:r>
        <w:rPr>
          <w:rFonts w:cs="Arial"/>
          <w:sz w:val="15"/>
          <w:szCs w:val="15"/>
        </w:rPr>
        <w:instrText xml:space="preserve"> DOCPROPERTY "AuperNummer"</w:instrText>
      </w:r>
      <w:r>
        <w:rPr>
          <w:rFonts w:cs="Arial"/>
          <w:sz w:val="15"/>
          <w:szCs w:val="15"/>
        </w:rPr>
        <w:fldChar w:fldCharType="separate"/>
      </w:r>
      <w:r>
        <w:rPr>
          <w:rFonts w:cs="Arial"/>
          <w:sz w:val="15"/>
          <w:szCs w:val="15"/>
        </w:rPr>
        <w:t>B-</w:t>
      </w:r>
      <w:r>
        <w:rPr>
          <w:rFonts w:cs="Arial"/>
          <w:sz w:val="15"/>
          <w:szCs w:val="15"/>
        </w:rPr>
        <w:fldChar w:fldCharType="end"/>
      </w:r>
    </w:p>
    <w:p w:rsidR="00BA2194" w:rsidRDefault="008A1CEA">
      <w:pPr>
        <w:pStyle w:val="Kleinschrift"/>
        <w:spacing w:line="276" w:lineRule="auto"/>
        <w:rPr>
          <w:rFonts w:cs="Arial"/>
          <w:sz w:val="15"/>
          <w:szCs w:val="15"/>
        </w:rPr>
      </w:pPr>
      <w:r>
        <w:rPr>
          <w:rFonts w:cs="Arial"/>
          <w:sz w:val="15"/>
          <w:szCs w:val="15"/>
        </w:rPr>
        <w:t xml:space="preserve">Sachbearbeiter/in: </w:t>
      </w:r>
      <w:r>
        <w:rPr>
          <w:rFonts w:cs="Arial"/>
          <w:sz w:val="15"/>
          <w:szCs w:val="15"/>
        </w:rPr>
        <w:fldChar w:fldCharType="begin"/>
      </w:r>
      <w:r>
        <w:rPr>
          <w:rFonts w:cs="Arial"/>
          <w:sz w:val="15"/>
          <w:szCs w:val="15"/>
        </w:rPr>
        <w:instrText xml:space="preserve"> DOCPROPERTY "oursign"</w:instrText>
      </w:r>
      <w:r>
        <w:rPr>
          <w:rFonts w:cs="Arial"/>
          <w:sz w:val="15"/>
          <w:szCs w:val="15"/>
        </w:rPr>
        <w:fldChar w:fldCharType="separate"/>
      </w:r>
      <w:r>
        <w:rPr>
          <w:rFonts w:cs="Arial"/>
          <w:sz w:val="15"/>
          <w:szCs w:val="15"/>
        </w:rPr>
        <w:t xml:space="preserve"> </w:t>
      </w:r>
      <w:r>
        <w:rPr>
          <w:rFonts w:cs="Arial"/>
          <w:sz w:val="15"/>
          <w:szCs w:val="15"/>
        </w:rPr>
        <w:fldChar w:fldCharType="end"/>
      </w:r>
    </w:p>
    <w:p w:rsidR="00BA2194" w:rsidRDefault="008A1CEA">
      <w:pPr>
        <w:pStyle w:val="Kleinschrift"/>
        <w:spacing w:after="480" w:line="276" w:lineRule="auto"/>
        <w:rPr>
          <w:rFonts w:cs="Arial"/>
          <w:color w:val="FF0000"/>
          <w:sz w:val="15"/>
          <w:szCs w:val="15"/>
        </w:rPr>
      </w:pPr>
      <w:r>
        <w:rPr>
          <w:rFonts w:cs="Arial"/>
          <w:b/>
          <w:sz w:val="15"/>
          <w:szCs w:val="15"/>
        </w:rPr>
        <w:t xml:space="preserve">Bern, </w:t>
      </w:r>
      <w:r>
        <w:rPr>
          <w:rFonts w:cs="Arial"/>
          <w:color w:val="FF0000"/>
          <w:sz w:val="15"/>
          <w:szCs w:val="15"/>
        </w:rPr>
        <w:t>Datum</w:t>
      </w:r>
    </w:p>
    <w:p w:rsidR="00BA2194" w:rsidRDefault="00F81EAB">
      <w:pPr>
        <w:pStyle w:val="Kleinschrift"/>
        <w:spacing w:after="480" w:line="276" w:lineRule="auto"/>
        <w:rPr>
          <w:sz w:val="24"/>
          <w:szCs w:val="24"/>
          <w:u w:val="single"/>
          <w:lang w:eastAsia="en-US"/>
        </w:rPr>
      </w:pPr>
      <w:bookmarkStart w:id="0" w:name="_GoBack"/>
      <w:r>
        <w:rPr>
          <w:sz w:val="24"/>
          <w:szCs w:val="24"/>
          <w:u w:val="single"/>
        </w:rPr>
        <w:t>Modalitäten</w:t>
      </w:r>
      <w:r w:rsidR="008A1CEA">
        <w:rPr>
          <w:sz w:val="24"/>
          <w:szCs w:val="24"/>
          <w:u w:val="single"/>
        </w:rPr>
        <w:t xml:space="preserve"> zum Vollzug der Auslieferungshaft</w:t>
      </w:r>
      <w:r w:rsidR="008A1CEA">
        <w:rPr>
          <w:sz w:val="24"/>
          <w:szCs w:val="24"/>
          <w:u w:val="single"/>
        </w:rPr>
        <w:fldChar w:fldCharType="begin"/>
      </w:r>
      <w:r w:rsidR="008A1CEA">
        <w:rPr>
          <w:sz w:val="24"/>
          <w:szCs w:val="24"/>
          <w:u w:val="single"/>
        </w:rPr>
        <w:instrText xml:space="preserve"> DOCPROPERTY "WohinLandDeutsch"</w:instrText>
      </w:r>
      <w:r w:rsidR="008A1CEA">
        <w:rPr>
          <w:sz w:val="24"/>
          <w:szCs w:val="24"/>
          <w:u w:val="single"/>
        </w:rPr>
        <w:fldChar w:fldCharType="end"/>
      </w:r>
      <w:r w:rsidR="008A1CEA">
        <w:rPr>
          <w:sz w:val="24"/>
          <w:szCs w:val="24"/>
          <w:u w:val="single"/>
        </w:rPr>
        <w:t xml:space="preserve"> </w:t>
      </w:r>
    </w:p>
    <w:bookmarkEnd w:id="0"/>
    <w:p w:rsidR="00BA2194" w:rsidRDefault="008A1CEA">
      <w:pPr>
        <w:pStyle w:val="Text"/>
        <w:numPr>
          <w:ilvl w:val="0"/>
          <w:numId w:val="2"/>
        </w:numPr>
        <w:rPr>
          <w:rFonts w:ascii="Arial" w:hAnsi="Arial" w:cs="Arial"/>
          <w:lang w:val="de-CH"/>
        </w:rPr>
      </w:pPr>
      <w:r>
        <w:rPr>
          <w:rFonts w:ascii="Arial" w:hAnsi="Arial" w:cs="Arial"/>
          <w:lang w:val="de-CH"/>
        </w:rPr>
        <w:t>Diese Hinweise sind auch dann zu beachten, wenn die Auslieferungshaft zusätzlich zu einer kantonalen Haft angeordnet wurde.</w:t>
      </w:r>
    </w:p>
    <w:p w:rsidR="00BA2194" w:rsidRDefault="008A1CEA">
      <w:pPr>
        <w:pStyle w:val="Text"/>
        <w:numPr>
          <w:ilvl w:val="0"/>
          <w:numId w:val="2"/>
        </w:numPr>
        <w:rPr>
          <w:rFonts w:ascii="Arial" w:hAnsi="Arial" w:cs="Arial"/>
          <w:lang w:val="de-CH"/>
        </w:rPr>
      </w:pPr>
      <w:r>
        <w:rPr>
          <w:rFonts w:ascii="Arial" w:hAnsi="Arial" w:cs="Arial"/>
          <w:lang w:val="de-CH"/>
        </w:rPr>
        <w:t xml:space="preserve">Im Fall eines Wechsels der Vollzugseinrichtung ist dieses Papier zusammen mit dem Auslieferungshaftbefehl an die für den Vollzug der Auslieferungshaft neu zuständigen Behörden weiterzugeben. </w:t>
      </w:r>
    </w:p>
    <w:p w:rsidR="00BA2194" w:rsidRDefault="008A1CEA">
      <w:pPr>
        <w:pStyle w:val="Text"/>
        <w:numPr>
          <w:ilvl w:val="0"/>
          <w:numId w:val="2"/>
        </w:numPr>
        <w:rPr>
          <w:rFonts w:ascii="Arial" w:hAnsi="Arial" w:cs="Arial"/>
          <w:lang w:val="de-CH"/>
        </w:rPr>
      </w:pPr>
      <w:r>
        <w:rPr>
          <w:rFonts w:ascii="Arial" w:hAnsi="Arial" w:cs="Arial"/>
          <w:lang w:val="de-CH"/>
        </w:rPr>
        <w:t>Bitte das BJ über wichtige Vorkommnisse, insbesondere beim Wechsel der Vollzugseinrichtung oder Wegfall eines kantonalen Hafttitels umgehend informieren (</w:t>
      </w:r>
      <w:hyperlink r:id="rId8" w:history="1">
        <w:r w:rsidRPr="00DF2C2D">
          <w:rPr>
            <w:rStyle w:val="Hyperlink"/>
            <w:rFonts w:ascii="Arial" w:hAnsi="Arial" w:cs="Arial"/>
            <w:lang w:val="de-CH"/>
          </w:rPr>
          <w:t>irh@bj.admin.ch</w:t>
        </w:r>
      </w:hyperlink>
      <w:r>
        <w:rPr>
          <w:rFonts w:ascii="Arial" w:hAnsi="Arial" w:cs="Arial"/>
          <w:lang w:val="de-CH"/>
        </w:rPr>
        <w:t xml:space="preserve">). </w:t>
      </w:r>
    </w:p>
    <w:p w:rsidR="00BA2194" w:rsidRDefault="00BA2194">
      <w:pPr>
        <w:pStyle w:val="Text"/>
        <w:rPr>
          <w:rFonts w:ascii="Arial" w:hAnsi="Arial" w:cs="Arial"/>
          <w:sz w:val="20"/>
          <w:lang w:val="de-CH"/>
        </w:rPr>
      </w:pPr>
    </w:p>
    <w:p w:rsidR="00BA2194" w:rsidRDefault="008A1CEA">
      <w:pPr>
        <w:pStyle w:val="Text"/>
        <w:rPr>
          <w:rFonts w:ascii="Arial" w:hAnsi="Arial" w:cs="Arial"/>
          <w:lang w:val="de-CH"/>
        </w:rPr>
      </w:pPr>
      <w:r>
        <w:rPr>
          <w:rFonts w:ascii="Arial" w:hAnsi="Arial" w:cs="Arial"/>
          <w:sz w:val="20"/>
          <w:lang w:val="de-CH"/>
        </w:rPr>
        <w:t>Betreffend (Name, Vorname):</w:t>
      </w:r>
      <w:r>
        <w:rPr>
          <w:rFonts w:ascii="Arial" w:hAnsi="Arial" w:cs="Arial"/>
          <w:sz w:val="20"/>
        </w:rPr>
        <w:fldChar w:fldCharType="begin"/>
      </w:r>
      <w:r>
        <w:rPr>
          <w:rFonts w:ascii="Arial" w:hAnsi="Arial" w:cs="Arial"/>
          <w:sz w:val="20"/>
          <w:lang w:val="de-CH"/>
        </w:rPr>
        <w:instrText xml:space="preserve">  </w:instrText>
      </w:r>
      <w:r>
        <w:rPr>
          <w:rFonts w:ascii="Arial" w:hAnsi="Arial" w:cs="Arial"/>
          <w:sz w:val="20"/>
        </w:rPr>
        <w:fldChar w:fldCharType="end"/>
      </w:r>
    </w:p>
    <w:p w:rsidR="00BA2194" w:rsidRDefault="00BA2194">
      <w:pPr>
        <w:pStyle w:val="Text"/>
        <w:rPr>
          <w:rFonts w:ascii="Arial" w:hAnsi="Arial" w:cs="Arial"/>
          <w:lang w:val="de-CH"/>
        </w:rPr>
      </w:pPr>
    </w:p>
    <w:p w:rsidR="00BA2194" w:rsidRDefault="008A1CEA">
      <w:pPr>
        <w:tabs>
          <w:tab w:val="left" w:pos="284"/>
          <w:tab w:val="left" w:pos="2268"/>
        </w:tabs>
        <w:spacing w:line="240" w:lineRule="auto"/>
        <w:ind w:left="284" w:hanging="284"/>
        <w:rPr>
          <w:sz w:val="18"/>
          <w:szCs w:val="20"/>
          <w:lang w:val="de-CH"/>
        </w:rPr>
      </w:pPr>
      <w:r>
        <w:rPr>
          <w:sz w:val="18"/>
          <w:szCs w:val="20"/>
          <w:lang w:val="de-CH"/>
        </w:rPr>
        <w:t xml:space="preserve">1. </w:t>
      </w:r>
      <w:r>
        <w:rPr>
          <w:sz w:val="18"/>
          <w:szCs w:val="20"/>
          <w:lang w:val="de-CH"/>
        </w:rPr>
        <w:tab/>
        <w:t>Kantonaler Hafttitel (hat i.d.R. Vorrang; Art. 49 IRSG; SR 351.1, Art. 20 IRSV; SR 351.11)</w:t>
      </w:r>
    </w:p>
    <w:p w:rsidR="00BA2194" w:rsidRDefault="008A1CEA">
      <w:pPr>
        <w:tabs>
          <w:tab w:val="left" w:pos="284"/>
          <w:tab w:val="left" w:pos="2268"/>
        </w:tabs>
        <w:spacing w:line="240" w:lineRule="auto"/>
        <w:ind w:left="284" w:hanging="284"/>
        <w:rPr>
          <w:sz w:val="18"/>
          <w:szCs w:val="20"/>
          <w:lang w:val="de-CH"/>
        </w:rPr>
      </w:pPr>
      <w:r>
        <w:rPr>
          <w:sz w:val="18"/>
          <w:szCs w:val="20"/>
          <w:lang w:val="de-CH"/>
        </w:rPr>
        <w:t xml:space="preserve"> </w:t>
      </w:r>
    </w:p>
    <w:p w:rsidR="00BA2194" w:rsidRDefault="008A1CEA">
      <w:pPr>
        <w:tabs>
          <w:tab w:val="left" w:pos="284"/>
          <w:tab w:val="left" w:pos="2268"/>
        </w:tabs>
        <w:spacing w:line="240" w:lineRule="auto"/>
        <w:ind w:left="284" w:hanging="284"/>
        <w:rPr>
          <w:sz w:val="18"/>
          <w:szCs w:val="20"/>
          <w:lang w:val="de-CH"/>
        </w:rPr>
      </w:pPr>
      <w:r>
        <w:rPr>
          <w:sz w:val="18"/>
          <w:szCs w:val="20"/>
          <w:lang w:val="de-CH"/>
        </w:rPr>
        <w:tab/>
      </w:r>
      <w:r>
        <w:rPr>
          <w:sz w:val="18"/>
          <w:szCs w:val="20"/>
        </w:rPr>
        <w:fldChar w:fldCharType="begin">
          <w:ffData>
            <w:name w:val="Kontrollkästchen1"/>
            <w:enabled/>
            <w:calcOnExit w:val="0"/>
            <w:checkBox>
              <w:sizeAuto/>
              <w:default w:val="0"/>
            </w:checkBox>
          </w:ffData>
        </w:fldChar>
      </w:r>
      <w:bookmarkStart w:id="1" w:name="Kontrollkästchen1"/>
      <w:r>
        <w:rPr>
          <w:sz w:val="18"/>
          <w:szCs w:val="20"/>
          <w:lang w:val="de-CH"/>
        </w:rPr>
        <w:instrText xml:space="preserve"> FORMCHECKBOX </w:instrText>
      </w:r>
      <w:r w:rsidR="00001F5B">
        <w:rPr>
          <w:sz w:val="18"/>
          <w:szCs w:val="20"/>
        </w:rPr>
      </w:r>
      <w:r w:rsidR="00001F5B">
        <w:rPr>
          <w:sz w:val="18"/>
          <w:szCs w:val="20"/>
        </w:rPr>
        <w:fldChar w:fldCharType="separate"/>
      </w:r>
      <w:r>
        <w:rPr>
          <w:sz w:val="18"/>
          <w:szCs w:val="20"/>
        </w:rPr>
        <w:fldChar w:fldCharType="end"/>
      </w:r>
      <w:bookmarkEnd w:id="1"/>
      <w:r>
        <w:rPr>
          <w:sz w:val="18"/>
          <w:szCs w:val="20"/>
          <w:lang w:val="de-CH"/>
        </w:rPr>
        <w:t xml:space="preserve"> vorhanden </w:t>
      </w:r>
    </w:p>
    <w:p w:rsidR="00BA2194" w:rsidRDefault="00BA2194">
      <w:pPr>
        <w:tabs>
          <w:tab w:val="left" w:pos="284"/>
          <w:tab w:val="left" w:pos="2268"/>
        </w:tabs>
        <w:spacing w:line="240" w:lineRule="auto"/>
        <w:ind w:left="284" w:hanging="284"/>
        <w:rPr>
          <w:sz w:val="18"/>
          <w:szCs w:val="20"/>
          <w:lang w:val="de-CH"/>
        </w:rPr>
      </w:pPr>
    </w:p>
    <w:p w:rsidR="00BA2194" w:rsidRDefault="008A1CEA">
      <w:pPr>
        <w:tabs>
          <w:tab w:val="left" w:pos="0"/>
          <w:tab w:val="left" w:pos="2268"/>
        </w:tabs>
        <w:spacing w:line="240" w:lineRule="auto"/>
        <w:rPr>
          <w:sz w:val="18"/>
          <w:szCs w:val="20"/>
          <w:lang w:val="de-CH"/>
        </w:rPr>
      </w:pPr>
      <w:r>
        <w:rPr>
          <w:sz w:val="18"/>
          <w:szCs w:val="20"/>
          <w:lang w:val="de-CH"/>
        </w:rPr>
        <w:t>Hafterleichterungen dürfen gemäss Art. 20 Abs. 1 IRSV nur mit vorgängiger Zustimmung des BJ gewährt werden. Als solche gelten namentlich Hafturlaub, Arbeits- und Wohnexternat, Halbgefangenschaft oder abweichende Vollzugsformen.</w:t>
      </w:r>
    </w:p>
    <w:p w:rsidR="00BA2194" w:rsidRDefault="00BA2194">
      <w:pPr>
        <w:tabs>
          <w:tab w:val="left" w:pos="284"/>
          <w:tab w:val="left" w:pos="2268"/>
        </w:tabs>
        <w:spacing w:line="240" w:lineRule="auto"/>
        <w:ind w:left="284" w:hanging="284"/>
        <w:rPr>
          <w:sz w:val="18"/>
          <w:szCs w:val="20"/>
          <w:lang w:val="de-CH"/>
        </w:rPr>
      </w:pPr>
    </w:p>
    <w:p w:rsidR="00BA2194" w:rsidRDefault="00BA2194">
      <w:pPr>
        <w:tabs>
          <w:tab w:val="left" w:pos="284"/>
          <w:tab w:val="left" w:pos="2268"/>
        </w:tabs>
        <w:spacing w:line="240" w:lineRule="auto"/>
        <w:ind w:left="284" w:hanging="284"/>
        <w:rPr>
          <w:sz w:val="18"/>
          <w:szCs w:val="20"/>
          <w:lang w:val="de-CH"/>
        </w:rPr>
      </w:pPr>
    </w:p>
    <w:p w:rsidR="00BA2194" w:rsidRDefault="008A1CEA">
      <w:pPr>
        <w:tabs>
          <w:tab w:val="left" w:pos="284"/>
          <w:tab w:val="left" w:pos="2268"/>
        </w:tabs>
        <w:spacing w:line="240" w:lineRule="auto"/>
        <w:ind w:left="284" w:hanging="284"/>
        <w:rPr>
          <w:sz w:val="18"/>
          <w:szCs w:val="20"/>
          <w:lang w:val="de-CH"/>
        </w:rPr>
      </w:pPr>
      <w:r>
        <w:rPr>
          <w:sz w:val="18"/>
          <w:szCs w:val="20"/>
          <w:lang w:val="de-CH"/>
        </w:rPr>
        <w:t xml:space="preserve">2. </w:t>
      </w:r>
      <w:r>
        <w:rPr>
          <w:sz w:val="18"/>
          <w:szCs w:val="20"/>
          <w:lang w:val="de-CH"/>
        </w:rPr>
        <w:tab/>
        <w:t>Die Auslieferungshaft wurde angeordnet im Hinblick auf die Auslieferung zum Zweck:</w:t>
      </w:r>
    </w:p>
    <w:p w:rsidR="00BA2194" w:rsidRDefault="00BA2194">
      <w:pPr>
        <w:tabs>
          <w:tab w:val="left" w:pos="284"/>
          <w:tab w:val="left" w:pos="2268"/>
        </w:tabs>
        <w:spacing w:line="240" w:lineRule="auto"/>
        <w:ind w:left="284" w:hanging="284"/>
        <w:rPr>
          <w:sz w:val="18"/>
          <w:szCs w:val="20"/>
          <w:lang w:val="de-CH"/>
        </w:rPr>
      </w:pPr>
    </w:p>
    <w:p w:rsidR="00BA2194" w:rsidRDefault="008A1CEA">
      <w:pPr>
        <w:tabs>
          <w:tab w:val="left" w:pos="284"/>
          <w:tab w:val="left" w:pos="2268"/>
        </w:tabs>
        <w:spacing w:line="240" w:lineRule="auto"/>
        <w:ind w:left="284" w:hanging="284"/>
        <w:rPr>
          <w:sz w:val="18"/>
          <w:szCs w:val="20"/>
          <w:lang w:val="de-CH"/>
        </w:rPr>
      </w:pPr>
      <w:r>
        <w:rPr>
          <w:sz w:val="24"/>
          <w:szCs w:val="26"/>
          <w:lang w:val="de-CH"/>
        </w:rPr>
        <w:tab/>
      </w:r>
      <w:r>
        <w:rPr>
          <w:sz w:val="18"/>
          <w:szCs w:val="20"/>
        </w:rPr>
        <w:fldChar w:fldCharType="begin">
          <w:ffData>
            <w:name w:val="Kontrollkästchen1"/>
            <w:enabled/>
            <w:calcOnExit w:val="0"/>
            <w:checkBox>
              <w:sizeAuto/>
              <w:default w:val="0"/>
            </w:checkBox>
          </w:ffData>
        </w:fldChar>
      </w:r>
      <w:r>
        <w:rPr>
          <w:sz w:val="18"/>
          <w:szCs w:val="20"/>
          <w:lang w:val="de-CH"/>
        </w:rPr>
        <w:instrText xml:space="preserve"> FORMCHECKBOX </w:instrText>
      </w:r>
      <w:r w:rsidR="00001F5B">
        <w:rPr>
          <w:sz w:val="18"/>
          <w:szCs w:val="20"/>
        </w:rPr>
      </w:r>
      <w:r w:rsidR="00001F5B">
        <w:rPr>
          <w:sz w:val="18"/>
          <w:szCs w:val="20"/>
        </w:rPr>
        <w:fldChar w:fldCharType="separate"/>
      </w:r>
      <w:r>
        <w:rPr>
          <w:sz w:val="18"/>
          <w:szCs w:val="20"/>
        </w:rPr>
        <w:fldChar w:fldCharType="end"/>
      </w:r>
      <w:r>
        <w:rPr>
          <w:sz w:val="18"/>
          <w:szCs w:val="20"/>
          <w:lang w:val="de-CH"/>
        </w:rPr>
        <w:t xml:space="preserve"> der Strafverfolgung. Die Auslieferungshaft ist in einem der Untersuchungshaft entsprechenden Regime zu vollziehen. </w:t>
      </w:r>
    </w:p>
    <w:p w:rsidR="00BA2194" w:rsidRDefault="00BA2194">
      <w:pPr>
        <w:tabs>
          <w:tab w:val="left" w:pos="284"/>
          <w:tab w:val="left" w:pos="2268"/>
        </w:tabs>
        <w:spacing w:line="240" w:lineRule="auto"/>
        <w:ind w:left="284" w:hanging="284"/>
        <w:rPr>
          <w:sz w:val="18"/>
          <w:szCs w:val="20"/>
          <w:lang w:val="de-CH"/>
        </w:rPr>
      </w:pPr>
    </w:p>
    <w:p w:rsidR="00BA2194" w:rsidRDefault="008A1CEA">
      <w:pPr>
        <w:tabs>
          <w:tab w:val="left" w:pos="284"/>
          <w:tab w:val="left" w:pos="2268"/>
        </w:tabs>
        <w:spacing w:line="240" w:lineRule="auto"/>
        <w:ind w:left="284" w:hanging="284"/>
        <w:rPr>
          <w:sz w:val="18"/>
          <w:szCs w:val="20"/>
          <w:lang w:val="de-CH"/>
        </w:rPr>
      </w:pPr>
      <w:r>
        <w:rPr>
          <w:sz w:val="18"/>
          <w:szCs w:val="20"/>
          <w:lang w:val="de-CH"/>
        </w:rPr>
        <w:tab/>
      </w:r>
      <w:r>
        <w:rPr>
          <w:sz w:val="18"/>
          <w:szCs w:val="20"/>
        </w:rPr>
        <w:fldChar w:fldCharType="begin">
          <w:ffData>
            <w:name w:val=""/>
            <w:enabled/>
            <w:calcOnExit w:val="0"/>
            <w:checkBox>
              <w:sizeAuto/>
              <w:default w:val="0"/>
            </w:checkBox>
          </w:ffData>
        </w:fldChar>
      </w:r>
      <w:r>
        <w:rPr>
          <w:sz w:val="18"/>
          <w:szCs w:val="20"/>
          <w:lang w:val="de-CH"/>
        </w:rPr>
        <w:instrText xml:space="preserve"> FORMCHECKBOX </w:instrText>
      </w:r>
      <w:r w:rsidR="00001F5B">
        <w:rPr>
          <w:sz w:val="18"/>
          <w:szCs w:val="20"/>
        </w:rPr>
      </w:r>
      <w:r w:rsidR="00001F5B">
        <w:rPr>
          <w:sz w:val="18"/>
          <w:szCs w:val="20"/>
        </w:rPr>
        <w:fldChar w:fldCharType="separate"/>
      </w:r>
      <w:r>
        <w:rPr>
          <w:sz w:val="18"/>
          <w:szCs w:val="20"/>
        </w:rPr>
        <w:fldChar w:fldCharType="end"/>
      </w:r>
      <w:r>
        <w:rPr>
          <w:sz w:val="18"/>
          <w:szCs w:val="20"/>
          <w:lang w:val="de-CH"/>
        </w:rPr>
        <w:t xml:space="preserve"> ausschliesslich der Strafvollstreckung. Die kantonalen Behörden können die Auslieferungshaft im Regime des Strafvollzuges vollziehen, sobald die Einvernahme zum formellen Auslieferungsersuchen nach Art. 52 IRSG erfolgt ist. </w:t>
      </w:r>
    </w:p>
    <w:p w:rsidR="00BA2194" w:rsidRDefault="00BA2194">
      <w:pPr>
        <w:tabs>
          <w:tab w:val="left" w:pos="284"/>
          <w:tab w:val="left" w:pos="2268"/>
        </w:tabs>
        <w:spacing w:line="240" w:lineRule="auto"/>
        <w:ind w:left="284" w:hanging="284"/>
        <w:rPr>
          <w:sz w:val="18"/>
          <w:szCs w:val="20"/>
          <w:lang w:val="de-CH"/>
        </w:rPr>
      </w:pPr>
    </w:p>
    <w:p w:rsidR="00BA2194" w:rsidRDefault="00BA2194">
      <w:pPr>
        <w:tabs>
          <w:tab w:val="left" w:pos="284"/>
          <w:tab w:val="left" w:pos="2268"/>
        </w:tabs>
        <w:spacing w:line="240" w:lineRule="auto"/>
        <w:ind w:left="284" w:hanging="284"/>
        <w:rPr>
          <w:sz w:val="18"/>
          <w:szCs w:val="20"/>
          <w:lang w:val="de-CH"/>
        </w:rPr>
      </w:pPr>
    </w:p>
    <w:p w:rsidR="00BA2194" w:rsidRDefault="008A1CEA">
      <w:pPr>
        <w:tabs>
          <w:tab w:val="left" w:pos="284"/>
          <w:tab w:val="left" w:pos="2268"/>
        </w:tabs>
        <w:spacing w:line="240" w:lineRule="auto"/>
        <w:ind w:left="284" w:hanging="284"/>
        <w:rPr>
          <w:sz w:val="18"/>
          <w:szCs w:val="20"/>
          <w:lang w:val="de-CH"/>
        </w:rPr>
      </w:pPr>
      <w:r>
        <w:rPr>
          <w:sz w:val="18"/>
          <w:szCs w:val="20"/>
          <w:lang w:val="de-CH"/>
        </w:rPr>
        <w:t xml:space="preserve">3. </w:t>
      </w:r>
      <w:r>
        <w:rPr>
          <w:sz w:val="18"/>
          <w:szCs w:val="20"/>
          <w:lang w:val="de-CH"/>
        </w:rPr>
        <w:tab/>
        <w:t xml:space="preserve">Besuchsbewilligungen und Kontrolle der Korrespondenz (inkl. Pakete): </w:t>
      </w:r>
    </w:p>
    <w:p w:rsidR="00BA2194" w:rsidRDefault="00BA2194">
      <w:pPr>
        <w:tabs>
          <w:tab w:val="left" w:pos="284"/>
          <w:tab w:val="left" w:pos="2268"/>
        </w:tabs>
        <w:spacing w:line="240" w:lineRule="auto"/>
        <w:ind w:left="284" w:hanging="284"/>
        <w:rPr>
          <w:sz w:val="18"/>
          <w:szCs w:val="20"/>
          <w:lang w:val="de-CH"/>
        </w:rPr>
      </w:pPr>
    </w:p>
    <w:p w:rsidR="00BA2194" w:rsidRDefault="00BA2194" w:rsidP="008A1CEA">
      <w:pPr>
        <w:tabs>
          <w:tab w:val="left" w:pos="284"/>
          <w:tab w:val="left" w:pos="2268"/>
        </w:tabs>
        <w:spacing w:line="240" w:lineRule="auto"/>
        <w:rPr>
          <w:sz w:val="18"/>
          <w:szCs w:val="20"/>
          <w:lang w:val="de-CH"/>
        </w:rPr>
      </w:pPr>
    </w:p>
    <w:p w:rsidR="00BA2194" w:rsidRDefault="008A1CEA">
      <w:pPr>
        <w:tabs>
          <w:tab w:val="left" w:pos="284"/>
          <w:tab w:val="left" w:pos="2268"/>
        </w:tabs>
        <w:spacing w:line="240" w:lineRule="auto"/>
        <w:ind w:left="284" w:hanging="284"/>
        <w:rPr>
          <w:sz w:val="18"/>
          <w:szCs w:val="20"/>
          <w:lang w:val="de-CH"/>
        </w:rPr>
      </w:pPr>
      <w:r>
        <w:rPr>
          <w:sz w:val="18"/>
          <w:szCs w:val="20"/>
          <w:lang w:val="de-CH"/>
        </w:rPr>
        <w:t xml:space="preserve"> </w:t>
      </w:r>
      <w:r>
        <w:rPr>
          <w:sz w:val="18"/>
          <w:szCs w:val="20"/>
          <w:lang w:val="de-CH"/>
        </w:rPr>
        <w:tab/>
      </w:r>
      <w:r>
        <w:rPr>
          <w:sz w:val="18"/>
          <w:szCs w:val="20"/>
        </w:rPr>
        <w:fldChar w:fldCharType="begin">
          <w:ffData>
            <w:name w:val=""/>
            <w:enabled/>
            <w:calcOnExit w:val="0"/>
            <w:checkBox>
              <w:sizeAuto/>
              <w:default w:val="0"/>
            </w:checkBox>
          </w:ffData>
        </w:fldChar>
      </w:r>
      <w:r>
        <w:rPr>
          <w:sz w:val="18"/>
          <w:szCs w:val="20"/>
          <w:lang w:val="de-CH"/>
        </w:rPr>
        <w:instrText xml:space="preserve"> FORMCHECKBOX </w:instrText>
      </w:r>
      <w:r w:rsidR="00001F5B">
        <w:rPr>
          <w:sz w:val="18"/>
          <w:szCs w:val="20"/>
        </w:rPr>
      </w:r>
      <w:r w:rsidR="00001F5B">
        <w:rPr>
          <w:sz w:val="18"/>
          <w:szCs w:val="20"/>
        </w:rPr>
        <w:fldChar w:fldCharType="separate"/>
      </w:r>
      <w:r>
        <w:rPr>
          <w:sz w:val="18"/>
          <w:szCs w:val="20"/>
        </w:rPr>
        <w:fldChar w:fldCharType="end"/>
      </w:r>
      <w:r>
        <w:rPr>
          <w:sz w:val="18"/>
          <w:szCs w:val="20"/>
          <w:lang w:val="de-CH"/>
        </w:rPr>
        <w:t xml:space="preserve"> Es besteht keine Kollusionsgefahr. Besuche und Kommunikation mit der Aussenwelt können im Rahmen der kantonalen Ordnung bewilligt und abgewickelt werden. Das BJ benötigt keine Aufzeichnungen.</w:t>
      </w:r>
    </w:p>
    <w:p w:rsidR="00BA2194" w:rsidRDefault="00BA2194">
      <w:pPr>
        <w:tabs>
          <w:tab w:val="left" w:pos="284"/>
          <w:tab w:val="left" w:pos="2268"/>
        </w:tabs>
        <w:spacing w:line="240" w:lineRule="auto"/>
        <w:ind w:left="284" w:hanging="284"/>
        <w:rPr>
          <w:sz w:val="18"/>
          <w:szCs w:val="20"/>
          <w:lang w:val="de-CH"/>
        </w:rPr>
      </w:pPr>
    </w:p>
    <w:p w:rsidR="00BA2194" w:rsidRDefault="008A1CEA">
      <w:pPr>
        <w:tabs>
          <w:tab w:val="left" w:pos="284"/>
          <w:tab w:val="left" w:pos="2268"/>
        </w:tabs>
        <w:spacing w:line="240" w:lineRule="auto"/>
        <w:ind w:left="284" w:hanging="284"/>
        <w:rPr>
          <w:sz w:val="18"/>
          <w:szCs w:val="20"/>
          <w:lang w:val="de-CH"/>
        </w:rPr>
      </w:pPr>
      <w:r>
        <w:rPr>
          <w:sz w:val="18"/>
          <w:szCs w:val="20"/>
          <w:lang w:val="de-CH"/>
        </w:rPr>
        <w:tab/>
      </w:r>
      <w:r>
        <w:rPr>
          <w:sz w:val="18"/>
          <w:szCs w:val="20"/>
        </w:rPr>
        <w:fldChar w:fldCharType="begin">
          <w:ffData>
            <w:name w:val="Kontrollkästchen1"/>
            <w:enabled/>
            <w:calcOnExit w:val="0"/>
            <w:checkBox>
              <w:sizeAuto/>
              <w:default w:val="0"/>
            </w:checkBox>
          </w:ffData>
        </w:fldChar>
      </w:r>
      <w:r>
        <w:rPr>
          <w:sz w:val="18"/>
          <w:szCs w:val="20"/>
          <w:lang w:val="de-CH"/>
        </w:rPr>
        <w:instrText xml:space="preserve"> FORMCHECKBOX </w:instrText>
      </w:r>
      <w:r w:rsidR="00001F5B">
        <w:rPr>
          <w:sz w:val="18"/>
          <w:szCs w:val="20"/>
        </w:rPr>
      </w:r>
      <w:r w:rsidR="00001F5B">
        <w:rPr>
          <w:sz w:val="18"/>
          <w:szCs w:val="20"/>
        </w:rPr>
        <w:fldChar w:fldCharType="separate"/>
      </w:r>
      <w:r>
        <w:rPr>
          <w:sz w:val="18"/>
          <w:szCs w:val="20"/>
        </w:rPr>
        <w:fldChar w:fldCharType="end"/>
      </w:r>
      <w:r>
        <w:rPr>
          <w:sz w:val="18"/>
          <w:szCs w:val="20"/>
          <w:lang w:val="de-CH"/>
        </w:rPr>
        <w:t xml:space="preserve"> Es besteht Kollusionsgefahr: Unbeaufsichtigter Verkehr im Rahmen der kantonalen Ordnung ist nur mit bevollmächtigten Rechtsvertretern und mit konsularischen Vertretern des Heimatstaates erlaubt. Alle anderen Besuche und andere Formen der Kommunikation sind zu überwachen und/oder aufzuzeichnen. </w:t>
      </w:r>
    </w:p>
    <w:p w:rsidR="00BA2194" w:rsidRDefault="008A1CEA">
      <w:pPr>
        <w:tabs>
          <w:tab w:val="left" w:pos="284"/>
          <w:tab w:val="left" w:pos="2268"/>
        </w:tabs>
        <w:spacing w:line="240" w:lineRule="auto"/>
        <w:ind w:left="284" w:hanging="284"/>
        <w:rPr>
          <w:sz w:val="18"/>
          <w:szCs w:val="20"/>
          <w:lang w:val="de-CH"/>
        </w:rPr>
      </w:pPr>
      <w:r>
        <w:rPr>
          <w:sz w:val="18"/>
          <w:szCs w:val="20"/>
          <w:lang w:val="de-CH"/>
        </w:rPr>
        <w:tab/>
      </w:r>
    </w:p>
    <w:p w:rsidR="00BA2194" w:rsidRDefault="008A1CEA">
      <w:pPr>
        <w:tabs>
          <w:tab w:val="left" w:pos="284"/>
          <w:tab w:val="left" w:pos="2268"/>
        </w:tabs>
        <w:spacing w:line="240" w:lineRule="auto"/>
        <w:ind w:left="284" w:hanging="284"/>
        <w:rPr>
          <w:sz w:val="18"/>
          <w:szCs w:val="20"/>
          <w:lang w:val="de-CH"/>
        </w:rPr>
      </w:pPr>
      <w:r>
        <w:rPr>
          <w:sz w:val="18"/>
          <w:szCs w:val="20"/>
          <w:lang w:val="de-CH"/>
        </w:rPr>
        <w:tab/>
      </w:r>
      <w:r>
        <w:rPr>
          <w:sz w:val="18"/>
          <w:szCs w:val="20"/>
        </w:rPr>
        <w:fldChar w:fldCharType="begin">
          <w:ffData>
            <w:name w:val="Kontrollkästchen3"/>
            <w:enabled/>
            <w:calcOnExit w:val="0"/>
            <w:checkBox>
              <w:sizeAuto/>
              <w:default w:val="0"/>
            </w:checkBox>
          </w:ffData>
        </w:fldChar>
      </w:r>
      <w:r>
        <w:rPr>
          <w:sz w:val="18"/>
          <w:szCs w:val="20"/>
          <w:lang w:val="de-CH"/>
        </w:rPr>
        <w:instrText xml:space="preserve"> FORMCHECKBOX </w:instrText>
      </w:r>
      <w:r w:rsidR="00001F5B">
        <w:rPr>
          <w:sz w:val="18"/>
          <w:szCs w:val="20"/>
        </w:rPr>
      </w:r>
      <w:r w:rsidR="00001F5B">
        <w:rPr>
          <w:sz w:val="18"/>
          <w:szCs w:val="20"/>
        </w:rPr>
        <w:fldChar w:fldCharType="separate"/>
      </w:r>
      <w:r>
        <w:rPr>
          <w:sz w:val="18"/>
          <w:szCs w:val="20"/>
        </w:rPr>
        <w:fldChar w:fldCharType="end"/>
      </w:r>
      <w:r>
        <w:rPr>
          <w:sz w:val="18"/>
          <w:szCs w:val="20"/>
          <w:lang w:val="de-CH"/>
        </w:rPr>
        <w:t xml:space="preserve"> Informationskopien von Bewilligungen und allfälligen Aufzeichnungen bitte mit der Referenz des Falles an das BJ senden (</w:t>
      </w:r>
      <w:hyperlink r:id="rId9" w:history="1">
        <w:r>
          <w:rPr>
            <w:rStyle w:val="Hyperlink"/>
            <w:sz w:val="18"/>
            <w:szCs w:val="20"/>
            <w:lang w:val="de-CH"/>
          </w:rPr>
          <w:t>irh@bj.admin.ch</w:t>
        </w:r>
      </w:hyperlink>
      <w:r>
        <w:rPr>
          <w:sz w:val="18"/>
          <w:szCs w:val="20"/>
          <w:lang w:val="de-CH"/>
        </w:rPr>
        <w:t xml:space="preserve">) </w:t>
      </w:r>
    </w:p>
    <w:p w:rsidR="00BA2194" w:rsidRDefault="008A1CEA">
      <w:pPr>
        <w:tabs>
          <w:tab w:val="left" w:pos="284"/>
          <w:tab w:val="left" w:pos="2268"/>
        </w:tabs>
        <w:spacing w:line="240" w:lineRule="auto"/>
        <w:ind w:left="284" w:hanging="284"/>
        <w:rPr>
          <w:sz w:val="18"/>
          <w:szCs w:val="20"/>
          <w:lang w:val="de-CH"/>
        </w:rPr>
      </w:pPr>
      <w:r>
        <w:rPr>
          <w:sz w:val="18"/>
          <w:szCs w:val="20"/>
          <w:lang w:val="de-CH"/>
        </w:rPr>
        <w:tab/>
      </w:r>
    </w:p>
    <w:p w:rsidR="00BA2194" w:rsidRDefault="008A1CEA">
      <w:pPr>
        <w:tabs>
          <w:tab w:val="left" w:pos="284"/>
          <w:tab w:val="left" w:pos="2268"/>
        </w:tabs>
        <w:spacing w:line="240" w:lineRule="auto"/>
        <w:ind w:left="284" w:hanging="284"/>
        <w:rPr>
          <w:sz w:val="18"/>
          <w:szCs w:val="20"/>
          <w:lang w:val="de-CH"/>
        </w:rPr>
      </w:pPr>
      <w:r>
        <w:rPr>
          <w:sz w:val="18"/>
          <w:szCs w:val="20"/>
          <w:lang w:val="de-CH"/>
        </w:rPr>
        <w:tab/>
      </w:r>
      <w:r>
        <w:rPr>
          <w:sz w:val="18"/>
          <w:szCs w:val="20"/>
        </w:rPr>
        <w:fldChar w:fldCharType="begin">
          <w:ffData>
            <w:name w:val="Kontrollkästchen3"/>
            <w:enabled/>
            <w:calcOnExit w:val="0"/>
            <w:checkBox>
              <w:sizeAuto/>
              <w:default w:val="0"/>
            </w:checkBox>
          </w:ffData>
        </w:fldChar>
      </w:r>
      <w:bookmarkStart w:id="2" w:name="Kontrollkästchen3"/>
      <w:r>
        <w:rPr>
          <w:sz w:val="18"/>
          <w:szCs w:val="20"/>
          <w:lang w:val="de-CH"/>
        </w:rPr>
        <w:instrText xml:space="preserve"> FORMCHECKBOX </w:instrText>
      </w:r>
      <w:r w:rsidR="00001F5B">
        <w:rPr>
          <w:sz w:val="18"/>
          <w:szCs w:val="20"/>
        </w:rPr>
      </w:r>
      <w:r w:rsidR="00001F5B">
        <w:rPr>
          <w:sz w:val="18"/>
          <w:szCs w:val="20"/>
        </w:rPr>
        <w:fldChar w:fldCharType="separate"/>
      </w:r>
      <w:r>
        <w:rPr>
          <w:sz w:val="18"/>
          <w:szCs w:val="20"/>
        </w:rPr>
        <w:fldChar w:fldCharType="end"/>
      </w:r>
      <w:bookmarkEnd w:id="2"/>
      <w:r>
        <w:rPr>
          <w:sz w:val="18"/>
          <w:szCs w:val="20"/>
          <w:lang w:val="de-CH"/>
        </w:rPr>
        <w:t xml:space="preserve"> Ausnahmsweise: Das BJ erteilt Besuchsbewilligungen und kontrolliert die Korrespondenz.</w:t>
      </w:r>
    </w:p>
    <w:p w:rsidR="00BA2194" w:rsidRDefault="00BA2194">
      <w:pPr>
        <w:tabs>
          <w:tab w:val="left" w:pos="284"/>
          <w:tab w:val="left" w:pos="2268"/>
        </w:tabs>
        <w:spacing w:line="240" w:lineRule="auto"/>
        <w:ind w:left="284" w:hanging="284"/>
        <w:rPr>
          <w:sz w:val="18"/>
          <w:szCs w:val="20"/>
          <w:lang w:val="de-CH"/>
        </w:rPr>
      </w:pPr>
    </w:p>
    <w:p w:rsidR="00BA2194" w:rsidRDefault="008A1CEA">
      <w:pPr>
        <w:tabs>
          <w:tab w:val="left" w:pos="284"/>
          <w:tab w:val="left" w:pos="2268"/>
        </w:tabs>
        <w:spacing w:line="240" w:lineRule="auto"/>
        <w:rPr>
          <w:sz w:val="18"/>
          <w:szCs w:val="20"/>
          <w:lang w:val="de-CH"/>
        </w:rPr>
      </w:pPr>
      <w:r>
        <w:rPr>
          <w:sz w:val="18"/>
          <w:szCs w:val="20"/>
          <w:lang w:val="de-CH"/>
        </w:rPr>
        <w:t xml:space="preserve">Die Bewilligung von Besuchen und die Kontrolle der Korrespondenz sind Tätigkeiten im Zusammenhang mit dem Vollzug der Auslieferungshaft und erfolgen somit grundsätzlich durch die kantonalen Behörden (je nach Kanton eine Staatsanwaltschaft, eine Fachbehörde der Kantonspolizei oder Organe der Vollzugseinrichtung). </w:t>
      </w:r>
    </w:p>
    <w:p w:rsidR="00BA2194" w:rsidRDefault="00BA2194">
      <w:pPr>
        <w:tabs>
          <w:tab w:val="left" w:pos="284"/>
          <w:tab w:val="left" w:pos="2268"/>
        </w:tabs>
        <w:spacing w:line="240" w:lineRule="auto"/>
        <w:ind w:left="284" w:hanging="284"/>
        <w:rPr>
          <w:sz w:val="18"/>
          <w:szCs w:val="20"/>
          <w:lang w:val="de-CH"/>
        </w:rPr>
      </w:pPr>
    </w:p>
    <w:p w:rsidR="00BA2194" w:rsidRDefault="008A1CEA">
      <w:pPr>
        <w:tabs>
          <w:tab w:val="left" w:pos="284"/>
          <w:tab w:val="left" w:pos="2268"/>
        </w:tabs>
        <w:spacing w:line="240" w:lineRule="auto"/>
        <w:rPr>
          <w:sz w:val="18"/>
          <w:szCs w:val="20"/>
          <w:lang w:val="de-CH"/>
        </w:rPr>
      </w:pPr>
      <w:r>
        <w:rPr>
          <w:sz w:val="18"/>
          <w:szCs w:val="20"/>
          <w:lang w:val="de-CH"/>
        </w:rPr>
        <w:lastRenderedPageBreak/>
        <w:t>Nur die inhaftierte Person hat einen grundsätzlichen Anspruch auf Besuche. Keinen derartigen Anspruch haben insbesondere konsularische Vertreter des Heimatstaates oder Rechtsanwälte, welche nicht über eine Vertretungsvollmacht der inhaftierten Person verfügen (sondern z.B. von Familienangehörigen beauftragt wurden).</w:t>
      </w:r>
    </w:p>
    <w:p w:rsidR="00BA2194" w:rsidRDefault="00BA2194">
      <w:pPr>
        <w:tabs>
          <w:tab w:val="left" w:pos="284"/>
          <w:tab w:val="left" w:pos="2268"/>
        </w:tabs>
        <w:spacing w:line="240" w:lineRule="auto"/>
        <w:rPr>
          <w:sz w:val="18"/>
          <w:szCs w:val="20"/>
          <w:lang w:val="de-CH"/>
        </w:rPr>
      </w:pPr>
    </w:p>
    <w:p w:rsidR="00BA2194" w:rsidRDefault="008A1CEA">
      <w:pPr>
        <w:tabs>
          <w:tab w:val="left" w:pos="284"/>
          <w:tab w:val="left" w:pos="2268"/>
        </w:tabs>
        <w:spacing w:line="240" w:lineRule="auto"/>
        <w:rPr>
          <w:sz w:val="18"/>
          <w:szCs w:val="20"/>
          <w:lang w:val="de-CH"/>
        </w:rPr>
      </w:pPr>
      <w:r>
        <w:rPr>
          <w:sz w:val="18"/>
          <w:szCs w:val="20"/>
          <w:lang w:val="de-CH"/>
        </w:rPr>
        <w:t xml:space="preserve">Wünscht die inhaftierte Person einen Besuch, hat diese bzw. deren Rechtsvertreter ein Gesuch einzureichen. Entscheide über Gesuche sind der inhaftierten Person selbst bzw. deren Rechtsvertreter </w:t>
      </w:r>
      <w:r w:rsidR="00AB5C77">
        <w:rPr>
          <w:sz w:val="18"/>
          <w:szCs w:val="20"/>
          <w:lang w:val="de-CH"/>
        </w:rPr>
        <w:t>mitzuteilen</w:t>
      </w:r>
      <w:r>
        <w:rPr>
          <w:sz w:val="18"/>
          <w:szCs w:val="20"/>
          <w:lang w:val="de-CH"/>
        </w:rPr>
        <w:t>. Rechtsvertreter</w:t>
      </w:r>
      <w:r w:rsidR="007F617E">
        <w:rPr>
          <w:sz w:val="18"/>
          <w:szCs w:val="20"/>
          <w:lang w:val="de-CH"/>
        </w:rPr>
        <w:t>n</w:t>
      </w:r>
      <w:r>
        <w:rPr>
          <w:sz w:val="18"/>
          <w:szCs w:val="20"/>
          <w:lang w:val="de-CH"/>
        </w:rPr>
        <w:t xml:space="preserve"> und Vertreter</w:t>
      </w:r>
      <w:r w:rsidR="007F617E">
        <w:rPr>
          <w:sz w:val="18"/>
          <w:szCs w:val="20"/>
          <w:lang w:val="de-CH"/>
        </w:rPr>
        <w:t>n</w:t>
      </w:r>
      <w:r>
        <w:rPr>
          <w:sz w:val="18"/>
          <w:szCs w:val="20"/>
          <w:lang w:val="de-CH"/>
        </w:rPr>
        <w:t xml:space="preserve"> des Heimatstaates wird der Besuch ohne Überwachung bewilligt.</w:t>
      </w:r>
    </w:p>
    <w:p w:rsidR="00BA2194" w:rsidRDefault="00BA2194">
      <w:pPr>
        <w:tabs>
          <w:tab w:val="left" w:pos="284"/>
          <w:tab w:val="left" w:pos="2268"/>
        </w:tabs>
        <w:spacing w:line="240" w:lineRule="auto"/>
        <w:rPr>
          <w:sz w:val="18"/>
          <w:szCs w:val="20"/>
          <w:lang w:val="de-CH"/>
        </w:rPr>
      </w:pPr>
    </w:p>
    <w:p w:rsidR="00BA2194" w:rsidRDefault="008A1CEA">
      <w:pPr>
        <w:tabs>
          <w:tab w:val="left" w:pos="284"/>
          <w:tab w:val="left" w:pos="2268"/>
        </w:tabs>
        <w:spacing w:line="240" w:lineRule="auto"/>
        <w:rPr>
          <w:sz w:val="18"/>
          <w:szCs w:val="20"/>
          <w:lang w:val="de-CH"/>
        </w:rPr>
      </w:pPr>
      <w:r>
        <w:rPr>
          <w:sz w:val="18"/>
          <w:szCs w:val="20"/>
          <w:lang w:val="de-CH"/>
        </w:rPr>
        <w:t xml:space="preserve">Besuchswünsche von Drittpersonen (inkl. Rechtsanwälte, welche nicht über eine Vertretungsvollmacht der inhaftierten Person verfügen) sind dem Häftling zwecks Einreichung eines allfälligen Gesuchs zu übermitteln. </w:t>
      </w:r>
    </w:p>
    <w:sectPr w:rsidR="00BA2194">
      <w:headerReference w:type="default" r:id="rId10"/>
      <w:pgSz w:w="11907" w:h="16839"/>
      <w:pgMar w:top="232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94" w:rsidRDefault="008A1CEA">
      <w:pPr>
        <w:spacing w:line="240" w:lineRule="auto"/>
      </w:pPr>
      <w:r>
        <w:separator/>
      </w:r>
    </w:p>
  </w:endnote>
  <w:endnote w:type="continuationSeparator" w:id="0">
    <w:p w:rsidR="00BA2194" w:rsidRDefault="008A1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94" w:rsidRDefault="008A1CEA">
      <w:pPr>
        <w:spacing w:line="240" w:lineRule="auto"/>
      </w:pPr>
      <w:r>
        <w:separator/>
      </w:r>
    </w:p>
  </w:footnote>
  <w:footnote w:type="continuationSeparator" w:id="0">
    <w:p w:rsidR="00BA2194" w:rsidRDefault="008A1C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94" w:rsidRPr="00CA438E" w:rsidRDefault="008A1CEA">
    <w:pPr>
      <w:pStyle w:val="Kopfzeile"/>
      <w:tabs>
        <w:tab w:val="left" w:pos="4253"/>
      </w:tabs>
      <w:spacing w:line="360" w:lineRule="auto"/>
      <w:rPr>
        <w:sz w:val="15"/>
        <w:szCs w:val="15"/>
        <w:lang w:val="it-CH"/>
      </w:rPr>
    </w:pPr>
    <w:r>
      <w:rPr>
        <w:noProof/>
        <w:lang w:val="de-CH" w:eastAsia="de-CH"/>
      </w:rPr>
      <w:drawing>
        <wp:anchor distT="0" distB="0" distL="114300" distR="114300" simplePos="0" relativeHeight="251658240" behindDoc="0" locked="0" layoutInCell="1" allowOverlap="1">
          <wp:simplePos x="0" y="0"/>
          <wp:positionH relativeFrom="column">
            <wp:posOffset>-381000</wp:posOffset>
          </wp:positionH>
          <wp:positionV relativeFrom="paragraph">
            <wp:posOffset>-26035</wp:posOffset>
          </wp:positionV>
          <wp:extent cx="2002790" cy="492760"/>
          <wp:effectExtent l="0" t="0" r="0" b="254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492760"/>
                  </a:xfrm>
                  <a:prstGeom prst="rect">
                    <a:avLst/>
                  </a:prstGeom>
                  <a:noFill/>
                </pic:spPr>
              </pic:pic>
            </a:graphicData>
          </a:graphic>
          <wp14:sizeRelH relativeFrom="page">
            <wp14:pctWidth>0</wp14:pctWidth>
          </wp14:sizeRelH>
          <wp14:sizeRelV relativeFrom="page">
            <wp14:pctHeight>0</wp14:pctHeight>
          </wp14:sizeRelV>
        </wp:anchor>
      </w:drawing>
    </w:r>
    <w:r w:rsidRPr="00CA438E">
      <w:rPr>
        <w:sz w:val="15"/>
        <w:szCs w:val="15"/>
        <w:lang w:val="it-CH"/>
      </w:rPr>
      <w:tab/>
    </w:r>
    <w:r>
      <w:rPr>
        <w:sz w:val="15"/>
        <w:szCs w:val="15"/>
      </w:rPr>
      <w:fldChar w:fldCharType="begin"/>
    </w:r>
    <w:r w:rsidRPr="00CA438E">
      <w:rPr>
        <w:sz w:val="15"/>
        <w:szCs w:val="15"/>
        <w:lang w:val="it-CH"/>
      </w:rPr>
      <w:instrText xml:space="preserve"> DOCPROPERTY "strDepartment"</w:instrText>
    </w:r>
    <w:r>
      <w:rPr>
        <w:sz w:val="15"/>
        <w:szCs w:val="15"/>
      </w:rPr>
      <w:fldChar w:fldCharType="separate"/>
    </w:r>
    <w:r w:rsidR="00CA438E">
      <w:rPr>
        <w:b/>
        <w:bCs/>
        <w:sz w:val="15"/>
        <w:szCs w:val="15"/>
        <w:lang w:val="it-IT"/>
      </w:rPr>
      <w:t>Errore. Nome della proprietà del documento sconosciuto.</w:t>
    </w:r>
    <w:r>
      <w:rPr>
        <w:sz w:val="15"/>
        <w:szCs w:val="15"/>
      </w:rPr>
      <w:fldChar w:fldCharType="end"/>
    </w:r>
  </w:p>
  <w:p w:rsidR="00BA2194" w:rsidRDefault="008A1CEA">
    <w:pPr>
      <w:pStyle w:val="Kopfzeile"/>
      <w:tabs>
        <w:tab w:val="left" w:pos="4253"/>
      </w:tabs>
      <w:rPr>
        <w:b/>
        <w:sz w:val="15"/>
        <w:szCs w:val="15"/>
        <w:lang w:val="de-CH"/>
      </w:rPr>
    </w:pPr>
    <w:r w:rsidRPr="00CA438E">
      <w:rPr>
        <w:sz w:val="15"/>
        <w:szCs w:val="15"/>
        <w:lang w:val="it-CH"/>
      </w:rPr>
      <w:tab/>
    </w:r>
    <w:r>
      <w:rPr>
        <w:b/>
        <w:sz w:val="15"/>
        <w:szCs w:val="15"/>
        <w:lang w:val="de-CH"/>
      </w:rPr>
      <w:t>Bundesamt für Justiz BJ</w:t>
    </w:r>
  </w:p>
  <w:p w:rsidR="00BA2194" w:rsidRPr="007F617E" w:rsidRDefault="008A1CEA">
    <w:pPr>
      <w:pStyle w:val="Kopfzeile"/>
      <w:tabs>
        <w:tab w:val="left" w:pos="4253"/>
      </w:tabs>
      <w:rPr>
        <w:sz w:val="15"/>
        <w:szCs w:val="15"/>
        <w:lang w:val="de-CH"/>
      </w:rPr>
    </w:pPr>
    <w:r>
      <w:rPr>
        <w:sz w:val="15"/>
        <w:szCs w:val="15"/>
        <w:lang w:val="de-CH"/>
      </w:rPr>
      <w:tab/>
    </w:r>
    <w:r w:rsidRPr="007F617E">
      <w:rPr>
        <w:sz w:val="15"/>
        <w:szCs w:val="15"/>
        <w:lang w:val="de-CH"/>
      </w:rPr>
      <w:t>Direktionsbereich Internationale Rechtshilfe</w:t>
    </w:r>
  </w:p>
  <w:p w:rsidR="00BA2194" w:rsidRDefault="008A1CEA">
    <w:pPr>
      <w:pStyle w:val="Kopfzeile"/>
      <w:tabs>
        <w:tab w:val="left" w:pos="4253"/>
      </w:tabs>
      <w:rPr>
        <w:sz w:val="15"/>
        <w:szCs w:val="15"/>
      </w:rPr>
    </w:pPr>
    <w:r w:rsidRPr="007F617E">
      <w:rPr>
        <w:sz w:val="15"/>
        <w:szCs w:val="15"/>
        <w:lang w:val="de-CH"/>
      </w:rPr>
      <w:tab/>
    </w:r>
    <w:proofErr w:type="spellStart"/>
    <w:r>
      <w:rPr>
        <w:sz w:val="15"/>
        <w:szCs w:val="15"/>
      </w:rPr>
      <w:t>Fachbereich</w:t>
    </w:r>
    <w:proofErr w:type="spellEnd"/>
    <w:r>
      <w:rPr>
        <w:sz w:val="15"/>
        <w:szCs w:val="15"/>
      </w:rPr>
      <w:t xml:space="preserve"> </w:t>
    </w:r>
    <w:proofErr w:type="spellStart"/>
    <w:r>
      <w:rPr>
        <w:sz w:val="15"/>
        <w:szCs w:val="15"/>
      </w:rPr>
      <w:t>Auslieferung</w:t>
    </w:r>
    <w:proofErr w:type="spellEnd"/>
  </w:p>
  <w:p w:rsidR="00BA2194" w:rsidRDefault="00BA2194">
    <w:pPr>
      <w:pStyle w:val="Kopfzeile"/>
    </w:pPr>
  </w:p>
  <w:p w:rsidR="00BA2194" w:rsidRDefault="00BA21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5763B"/>
    <w:multiLevelType w:val="hybridMultilevel"/>
    <w:tmpl w:val="279AA7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AFF4AA1"/>
    <w:multiLevelType w:val="hybridMultilevel"/>
    <w:tmpl w:val="A510DC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EDC7F9E"/>
    <w:multiLevelType w:val="hybridMultilevel"/>
    <w:tmpl w:val="49DCEC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94"/>
    <w:rsid w:val="00001F5B"/>
    <w:rsid w:val="007F617E"/>
    <w:rsid w:val="008A1CEA"/>
    <w:rsid w:val="00AB5C77"/>
    <w:rsid w:val="00BA2194"/>
    <w:rsid w:val="00BD4AC6"/>
    <w:rsid w:val="00CA438E"/>
    <w:rsid w:val="00F8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33C6D1A-7975-4844-A9B1-7A502DA6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nhideWhenUsed/>
    <w:pPr>
      <w:tabs>
        <w:tab w:val="center" w:pos="4703"/>
        <w:tab w:val="right" w:pos="9406"/>
      </w:tabs>
      <w:spacing w:line="240" w:lineRule="auto"/>
    </w:pPr>
  </w:style>
  <w:style w:type="character" w:customStyle="1" w:styleId="KopfzeileZchn">
    <w:name w:val="Kopfzeile Zchn"/>
    <w:basedOn w:val="Absatz-Standardschriftart"/>
    <w:link w:val="Kopfzeile"/>
    <w:rPr>
      <w:rFonts w:ascii="Arial" w:hAnsi="Arial" w:cs="Arial"/>
    </w:rPr>
  </w:style>
  <w:style w:type="paragraph" w:styleId="Fuzeile">
    <w:name w:val="footer"/>
    <w:basedOn w:val="Standard"/>
    <w:link w:val="FuzeileZchn"/>
    <w:uiPriority w:val="99"/>
    <w:unhideWhenUsed/>
    <w:pPr>
      <w:tabs>
        <w:tab w:val="center" w:pos="4703"/>
        <w:tab w:val="right" w:pos="9406"/>
      </w:tabs>
      <w:spacing w:line="240" w:lineRule="auto"/>
    </w:pPr>
  </w:style>
  <w:style w:type="character" w:customStyle="1" w:styleId="FuzeileZchn">
    <w:name w:val="Fußzeile Zchn"/>
    <w:basedOn w:val="Absatz-Standardschriftart"/>
    <w:link w:val="Fuzeile"/>
    <w:uiPriority w:val="99"/>
    <w:rPr>
      <w:rFonts w:ascii="Arial" w:hAnsi="Arial" w:cs="Arial"/>
    </w:rPr>
  </w:style>
  <w:style w:type="character" w:customStyle="1" w:styleId="TextZchn">
    <w:name w:val="Text Zchn"/>
    <w:link w:val="Text"/>
    <w:locked/>
    <w:rPr>
      <w:rFonts w:ascii="Times" w:eastAsia="Times" w:hAnsi="Times" w:cs="Times"/>
      <w:lang w:eastAsia="de-CH"/>
    </w:rPr>
  </w:style>
  <w:style w:type="paragraph" w:customStyle="1" w:styleId="Text">
    <w:name w:val="Text"/>
    <w:basedOn w:val="Kopfzeile"/>
    <w:link w:val="TextZchn"/>
    <w:pPr>
      <w:tabs>
        <w:tab w:val="clear" w:pos="4703"/>
        <w:tab w:val="clear" w:pos="9406"/>
        <w:tab w:val="left" w:pos="4253"/>
      </w:tabs>
      <w:spacing w:line="280" w:lineRule="exact"/>
    </w:pPr>
    <w:rPr>
      <w:rFonts w:ascii="Times" w:eastAsia="Times" w:hAnsi="Times" w:cs="Times"/>
      <w:lang w:eastAsia="de-CH"/>
    </w:rPr>
  </w:style>
  <w:style w:type="paragraph" w:customStyle="1" w:styleId="Kleinschrift">
    <w:name w:val="Kleinschrift"/>
    <w:basedOn w:val="Kopfzeile"/>
    <w:next w:val="Text"/>
    <w:pPr>
      <w:tabs>
        <w:tab w:val="clear" w:pos="4703"/>
        <w:tab w:val="clear" w:pos="9406"/>
        <w:tab w:val="left" w:pos="4253"/>
      </w:tabs>
      <w:spacing w:line="200" w:lineRule="exact"/>
    </w:pPr>
    <w:rPr>
      <w:rFonts w:eastAsia="Times" w:cs="Times New Roman"/>
      <w:sz w:val="14"/>
      <w:szCs w:val="20"/>
      <w:lang w:val="de-CH" w:eastAsia="de-CH"/>
    </w:rPr>
  </w:style>
  <w:style w:type="paragraph" w:customStyle="1" w:styleId="Betreff">
    <w:name w:val="Betreff"/>
    <w:basedOn w:val="Kopfzeile"/>
    <w:next w:val="Text"/>
    <w:pPr>
      <w:tabs>
        <w:tab w:val="clear" w:pos="4703"/>
        <w:tab w:val="clear" w:pos="9406"/>
        <w:tab w:val="left" w:pos="4253"/>
      </w:tabs>
      <w:spacing w:after="260" w:line="280" w:lineRule="exact"/>
    </w:pPr>
    <w:rPr>
      <w:b/>
      <w:szCs w:val="20"/>
      <w:lang w:val="de-CH"/>
    </w:rPr>
  </w:style>
  <w:style w:type="character" w:styleId="Hyperlink">
    <w:name w:val="Hyperlink"/>
    <w:basedOn w:val="Absatz-Standardschriftart"/>
    <w:uiPriority w:val="99"/>
    <w:unhideWhenUsed/>
    <w:rPr>
      <w:color w:val="0563C1" w:themeColor="hyperlink"/>
      <w:u w:val="single"/>
    </w:r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rFonts w:ascii="Arial" w:hAnsi="Arial" w:cs="Arial"/>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8A1CEA"/>
    <w:rPr>
      <w:sz w:val="16"/>
      <w:szCs w:val="16"/>
    </w:rPr>
  </w:style>
  <w:style w:type="paragraph" w:styleId="Kommentartext">
    <w:name w:val="annotation text"/>
    <w:basedOn w:val="Standard"/>
    <w:link w:val="KommentartextZchn"/>
    <w:uiPriority w:val="99"/>
    <w:semiHidden/>
    <w:unhideWhenUsed/>
    <w:rsid w:val="008A1C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1CEA"/>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8A1CEA"/>
    <w:rPr>
      <w:b/>
      <w:bCs/>
    </w:rPr>
  </w:style>
  <w:style w:type="character" w:customStyle="1" w:styleId="KommentarthemaZchn">
    <w:name w:val="Kommentarthema Zchn"/>
    <w:basedOn w:val="KommentartextZchn"/>
    <w:link w:val="Kommentarthema"/>
    <w:uiPriority w:val="99"/>
    <w:semiHidden/>
    <w:rsid w:val="008A1CE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39686">
      <w:bodyDiv w:val="1"/>
      <w:marLeft w:val="0"/>
      <w:marRight w:val="0"/>
      <w:marTop w:val="0"/>
      <w:marBottom w:val="0"/>
      <w:divBdr>
        <w:top w:val="none" w:sz="0" w:space="0" w:color="auto"/>
        <w:left w:val="none" w:sz="0" w:space="0" w:color="auto"/>
        <w:bottom w:val="none" w:sz="0" w:space="0" w:color="auto"/>
        <w:right w:val="none" w:sz="0" w:space="0" w:color="auto"/>
      </w:divBdr>
    </w:div>
    <w:div w:id="302740722">
      <w:bodyDiv w:val="1"/>
      <w:marLeft w:val="0"/>
      <w:marRight w:val="0"/>
      <w:marTop w:val="0"/>
      <w:marBottom w:val="0"/>
      <w:divBdr>
        <w:top w:val="none" w:sz="0" w:space="0" w:color="auto"/>
        <w:left w:val="none" w:sz="0" w:space="0" w:color="auto"/>
        <w:bottom w:val="none" w:sz="0" w:space="0" w:color="auto"/>
        <w:right w:val="none" w:sz="0" w:space="0" w:color="auto"/>
      </w:divBdr>
    </w:div>
    <w:div w:id="762335987">
      <w:bodyDiv w:val="1"/>
      <w:marLeft w:val="0"/>
      <w:marRight w:val="0"/>
      <w:marTop w:val="0"/>
      <w:marBottom w:val="0"/>
      <w:divBdr>
        <w:top w:val="none" w:sz="0" w:space="0" w:color="auto"/>
        <w:left w:val="none" w:sz="0" w:space="0" w:color="auto"/>
        <w:bottom w:val="none" w:sz="0" w:space="0" w:color="auto"/>
        <w:right w:val="none" w:sz="0" w:space="0" w:color="auto"/>
      </w:divBdr>
    </w:div>
    <w:div w:id="826898631">
      <w:bodyDiv w:val="1"/>
      <w:marLeft w:val="0"/>
      <w:marRight w:val="0"/>
      <w:marTop w:val="0"/>
      <w:marBottom w:val="0"/>
      <w:divBdr>
        <w:top w:val="none" w:sz="0" w:space="0" w:color="auto"/>
        <w:left w:val="none" w:sz="0" w:space="0" w:color="auto"/>
        <w:bottom w:val="none" w:sz="0" w:space="0" w:color="auto"/>
        <w:right w:val="none" w:sz="0" w:space="0" w:color="auto"/>
      </w:divBdr>
    </w:div>
    <w:div w:id="1113397962">
      <w:bodyDiv w:val="1"/>
      <w:marLeft w:val="0"/>
      <w:marRight w:val="0"/>
      <w:marTop w:val="0"/>
      <w:marBottom w:val="0"/>
      <w:divBdr>
        <w:top w:val="none" w:sz="0" w:space="0" w:color="auto"/>
        <w:left w:val="none" w:sz="0" w:space="0" w:color="auto"/>
        <w:bottom w:val="none" w:sz="0" w:space="0" w:color="auto"/>
        <w:right w:val="none" w:sz="0" w:space="0" w:color="auto"/>
      </w:divBdr>
    </w:div>
    <w:div w:id="11482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h@bj.admin.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h@bj.adm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D509-550E-4DFD-AA96-26142F73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3213</Characters>
  <Application>Microsoft Office Word</Application>
  <DocSecurity>4</DocSecurity>
  <Lines>26</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Bundesverwaltung</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Modalitäten zum Vollzug der Auslieferungshaft</dc:title>
  <dc:subject/>
  <dc:creator>Barbara Alberti Züger</dc:creator>
  <cp:keywords/>
  <dc:description/>
  <cp:lastModifiedBy>Simone Ludin</cp:lastModifiedBy>
  <cp:revision>2</cp:revision>
  <cp:lastPrinted>2018-05-03T07:55:00Z</cp:lastPrinted>
  <dcterms:created xsi:type="dcterms:W3CDTF">2018-12-10T10:58:00Z</dcterms:created>
  <dcterms:modified xsi:type="dcterms:W3CDTF">2018-12-10T10:58:00Z</dcterms:modified>
</cp:coreProperties>
</file>